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A3DB7" w14:textId="466E1180" w:rsidR="006C0ACA" w:rsidRPr="00C5644E" w:rsidRDefault="006C0ACA" w:rsidP="006C0ACA">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r>
      <w:r w:rsidR="00CC7E9E" w:rsidRPr="00CC7E9E">
        <w:rPr>
          <w:rFonts w:asciiTheme="minorHAnsi" w:hAnsiTheme="minorHAnsi" w:cstheme="minorHAnsi"/>
          <w:bCs/>
          <w:noProof w:val="0"/>
          <w:sz w:val="24"/>
          <w:szCs w:val="24"/>
          <w:lang w:eastAsia="zh-CN"/>
        </w:rPr>
        <w:t>R4-2301045</w:t>
      </w:r>
    </w:p>
    <w:p w14:paraId="00AE5327" w14:textId="70D0B4A4" w:rsidR="006C0ACA" w:rsidRDefault="006C0ACA" w:rsidP="006C0ACA">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Athens, Greece, February 27 – March 3, 202</w:t>
      </w:r>
      <w:r w:rsidR="00CC7E9E">
        <w:rPr>
          <w:rFonts w:asciiTheme="minorHAnsi" w:hAnsiTheme="minorHAnsi" w:cstheme="minorHAnsi"/>
          <w:bCs/>
          <w:noProof w:val="0"/>
          <w:sz w:val="24"/>
          <w:szCs w:val="24"/>
          <w:lang w:eastAsia="zh-CN"/>
        </w:rPr>
        <w:t>3</w:t>
      </w:r>
    </w:p>
    <w:p w14:paraId="3AB89F17" w14:textId="3D179588" w:rsidR="006C0ACA" w:rsidRPr="0041046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C5644E">
        <w:rPr>
          <w:rFonts w:asciiTheme="minorHAnsi" w:eastAsiaTheme="minorEastAsia" w:hAnsiTheme="minorHAnsi" w:cstheme="minorHAnsi" w:hint="eastAsia"/>
          <w:bCs/>
          <w:noProof w:val="0"/>
          <w:sz w:val="24"/>
          <w:szCs w:val="24"/>
          <w:lang w:eastAsia="zh-CN"/>
        </w:rPr>
        <w:t>9</w:t>
      </w:r>
      <w:r w:rsidRPr="00410463">
        <w:rPr>
          <w:rFonts w:asciiTheme="minorHAnsi" w:eastAsiaTheme="minorEastAsia" w:hAnsiTheme="minorHAnsi" w:cstheme="minorHAnsi"/>
          <w:bCs/>
          <w:noProof w:val="0"/>
          <w:sz w:val="24"/>
          <w:szCs w:val="24"/>
          <w:lang w:eastAsia="zh-CN"/>
        </w:rPr>
        <w:t>.8.3</w:t>
      </w:r>
      <w:r>
        <w:rPr>
          <w:rFonts w:asciiTheme="minorHAnsi" w:eastAsiaTheme="minorEastAsia" w:hAnsiTheme="minorHAnsi" w:cstheme="minorHAnsi"/>
          <w:bCs/>
          <w:noProof w:val="0"/>
          <w:sz w:val="24"/>
          <w:szCs w:val="24"/>
          <w:lang w:eastAsia="zh-CN"/>
        </w:rPr>
        <w:t>.</w:t>
      </w:r>
      <w:r w:rsidR="00957D2A">
        <w:rPr>
          <w:rFonts w:asciiTheme="minorHAnsi" w:eastAsiaTheme="minorEastAsia" w:hAnsiTheme="minorHAnsi" w:cstheme="minorHAnsi"/>
          <w:bCs/>
          <w:noProof w:val="0"/>
          <w:sz w:val="24"/>
          <w:szCs w:val="24"/>
          <w:lang w:eastAsia="zh-CN"/>
        </w:rPr>
        <w:t>6</w:t>
      </w:r>
    </w:p>
    <w:p w14:paraId="57BBF75E" w14:textId="77777777" w:rsidR="006C0ACA" w:rsidRPr="009A2A8B"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10DB76D" w14:textId="1321B2F1" w:rsidR="006C0ACA" w:rsidRPr="009A2A8B"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CC7E9E" w:rsidRPr="00CC7E9E">
        <w:rPr>
          <w:rFonts w:asciiTheme="minorHAnsi" w:eastAsiaTheme="minorEastAsia" w:hAnsiTheme="minorHAnsi" w:cstheme="minorHAnsi"/>
          <w:bCs/>
          <w:noProof w:val="0"/>
          <w:sz w:val="24"/>
          <w:szCs w:val="24"/>
          <w:lang w:eastAsia="zh-CN"/>
        </w:rPr>
        <w:t>Discussion on receive timing difference for multi-Rx UE</w:t>
      </w:r>
    </w:p>
    <w:p w14:paraId="66AAD5BC" w14:textId="6642A81D" w:rsidR="0034111C" w:rsidRPr="00C8620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7A83A2C8" w:rsidR="0028162D" w:rsidRPr="007317FB" w:rsidRDefault="006C0ACA" w:rsidP="00C86203">
      <w:pPr>
        <w:rPr>
          <w:rFonts w:eastAsia="新細明體" w:cstheme="minorHAnsi"/>
          <w:szCs w:val="24"/>
        </w:rPr>
      </w:pPr>
      <w:r>
        <w:rPr>
          <w:rFonts w:eastAsia="新細明體" w:cstheme="minorHAnsi"/>
          <w:szCs w:val="24"/>
        </w:rPr>
        <w:t xml:space="preserve">According to WF </w:t>
      </w:r>
      <w:r w:rsidR="00571F9A">
        <w:rPr>
          <w:rFonts w:eastAsia="新細明體" w:cstheme="minorHAnsi"/>
          <w:szCs w:val="24"/>
        </w:rPr>
        <w:fldChar w:fldCharType="begin"/>
      </w:r>
      <w:r w:rsidR="00571F9A">
        <w:rPr>
          <w:rFonts w:eastAsia="新細明體" w:cstheme="minorHAnsi"/>
          <w:szCs w:val="24"/>
        </w:rPr>
        <w:instrText xml:space="preserve"> REF _Ref126874315 \r \h </w:instrText>
      </w:r>
      <w:r w:rsidR="00571F9A">
        <w:rPr>
          <w:rFonts w:eastAsia="新細明體" w:cstheme="minorHAnsi"/>
          <w:szCs w:val="24"/>
        </w:rPr>
      </w:r>
      <w:r w:rsidR="00571F9A">
        <w:rPr>
          <w:rFonts w:eastAsia="新細明體" w:cstheme="minorHAnsi"/>
          <w:szCs w:val="24"/>
        </w:rPr>
        <w:fldChar w:fldCharType="separate"/>
      </w:r>
      <w:r w:rsidR="001E1CA5">
        <w:rPr>
          <w:rFonts w:eastAsia="新細明體" w:cstheme="minorHAnsi"/>
          <w:szCs w:val="24"/>
        </w:rPr>
        <w:t>[1]</w:t>
      </w:r>
      <w:r w:rsidR="00571F9A">
        <w:rPr>
          <w:rFonts w:eastAsia="新細明體" w:cstheme="minorHAnsi"/>
          <w:szCs w:val="24"/>
        </w:rPr>
        <w:fldChar w:fldCharType="end"/>
      </w:r>
      <w:r w:rsidR="00571F9A">
        <w:rPr>
          <w:rFonts w:eastAsia="新細明體" w:cstheme="minorHAnsi"/>
          <w:szCs w:val="24"/>
        </w:rPr>
        <w:t xml:space="preserve"> </w:t>
      </w:r>
      <w:r>
        <w:rPr>
          <w:rFonts w:eastAsia="新細明體" w:cstheme="minorHAnsi"/>
          <w:szCs w:val="24"/>
        </w:rPr>
        <w:t>and discussion summary</w:t>
      </w:r>
      <w:r w:rsidR="00571F9A">
        <w:rPr>
          <w:rFonts w:eastAsia="新細明體" w:cstheme="minorHAnsi"/>
          <w:szCs w:val="24"/>
        </w:rPr>
        <w:t xml:space="preserve"> </w:t>
      </w:r>
      <w:r w:rsidR="00571F9A">
        <w:rPr>
          <w:rFonts w:eastAsia="新細明體" w:cstheme="minorHAnsi"/>
          <w:szCs w:val="24"/>
        </w:rPr>
        <w:fldChar w:fldCharType="begin"/>
      </w:r>
      <w:r w:rsidR="00571F9A">
        <w:rPr>
          <w:rFonts w:eastAsia="新細明體" w:cstheme="minorHAnsi"/>
          <w:szCs w:val="24"/>
        </w:rPr>
        <w:instrText xml:space="preserve"> REF _Ref126874323 \r \h </w:instrText>
      </w:r>
      <w:r w:rsidR="00571F9A">
        <w:rPr>
          <w:rFonts w:eastAsia="新細明體" w:cstheme="minorHAnsi"/>
          <w:szCs w:val="24"/>
        </w:rPr>
      </w:r>
      <w:r w:rsidR="00571F9A">
        <w:rPr>
          <w:rFonts w:eastAsia="新細明體" w:cstheme="minorHAnsi"/>
          <w:szCs w:val="24"/>
        </w:rPr>
        <w:fldChar w:fldCharType="separate"/>
      </w:r>
      <w:r w:rsidR="001E1CA5">
        <w:rPr>
          <w:rFonts w:eastAsia="新細明體" w:cstheme="minorHAnsi"/>
          <w:szCs w:val="24"/>
        </w:rPr>
        <w:t>[2]</w:t>
      </w:r>
      <w:r w:rsidR="00571F9A">
        <w:rPr>
          <w:rFonts w:eastAsia="新細明體" w:cstheme="minorHAnsi"/>
          <w:szCs w:val="24"/>
        </w:rPr>
        <w:fldChar w:fldCharType="end"/>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ad some agreements in the last meeting while some issues were discussed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4641CA">
        <w:rPr>
          <w:rFonts w:eastAsia="新細明體" w:cstheme="minorHAnsi"/>
          <w:szCs w:val="24"/>
        </w:rPr>
        <w:t>receive timing difference</w:t>
      </w:r>
      <w:r>
        <w:rPr>
          <w:rFonts w:eastAsia="新細明體" w:cstheme="minorHAnsi"/>
          <w:szCs w:val="24"/>
        </w:rPr>
        <w: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D193329" w14:textId="15D79F64" w:rsidR="004641CA" w:rsidRPr="00A20918" w:rsidRDefault="004641CA" w:rsidP="004641CA">
      <w:pPr>
        <w:spacing w:before="100" w:beforeAutospacing="1" w:after="100" w:afterAutospacing="1"/>
        <w:jc w:val="both"/>
        <w:rPr>
          <w:rFonts w:eastAsia="新細明體"/>
        </w:rPr>
      </w:pPr>
      <w:r>
        <w:rPr>
          <w:rFonts w:eastAsia="新細明體"/>
        </w:rPr>
        <w:t xml:space="preserve">For this issue, we think the key point of whether UE can measure the signals with timing difference larger than on CP is not only related to the number of the UE Rx </w:t>
      </w:r>
      <w:r w:rsidR="00404AAA">
        <w:rPr>
          <w:rFonts w:eastAsia="新細明體"/>
        </w:rPr>
        <w:t>antenna module</w:t>
      </w:r>
      <w:r>
        <w:rPr>
          <w:rFonts w:eastAsia="新細明體"/>
        </w:rPr>
        <w:t>s. It also involves the number of FFT</w:t>
      </w:r>
      <w:r w:rsidR="00CA0C00">
        <w:rPr>
          <w:rFonts w:eastAsia="新細明體"/>
        </w:rPr>
        <w:t xml:space="preserve"> </w:t>
      </w:r>
      <w:r w:rsidR="001E1CA5" w:rsidRPr="001E1CA5">
        <w:rPr>
          <w:rFonts w:eastAsia="新細明體"/>
        </w:rPr>
        <w:t>module</w:t>
      </w:r>
      <w:r w:rsidR="001E1CA5" w:rsidRPr="001E1CA5">
        <w:rPr>
          <w:rFonts w:eastAsia="新細明體"/>
        </w:rPr>
        <w:t xml:space="preserve"> </w:t>
      </w:r>
      <w:r>
        <w:rPr>
          <w:rFonts w:eastAsia="新細明體"/>
        </w:rPr>
        <w:t xml:space="preserve">and timing estimation/tracking/compensation modules in the baseband. If UE wants to measure the signals by different </w:t>
      </w:r>
      <w:r w:rsidR="00404AAA">
        <w:rPr>
          <w:rFonts w:eastAsia="新細明體"/>
        </w:rPr>
        <w:t>antenna modules</w:t>
      </w:r>
      <w:r>
        <w:rPr>
          <w:rFonts w:eastAsia="新細明體"/>
        </w:rPr>
        <w:t xml:space="preserve"> with timing difference larger than one CP, then the number of modules mentioned above should be doubled. Furthermore, </w:t>
      </w:r>
      <w:r w:rsidR="00087CD6">
        <w:rPr>
          <w:rFonts w:eastAsia="新細明體"/>
        </w:rPr>
        <w:t xml:space="preserve">it is not clear whether </w:t>
      </w:r>
      <w:r>
        <w:rPr>
          <w:rFonts w:eastAsia="新細明體"/>
        </w:rPr>
        <w:t xml:space="preserve">4-layer MIMO </w:t>
      </w:r>
      <w:r w:rsidR="00087CD6">
        <w:rPr>
          <w:rFonts w:eastAsia="新細明體"/>
        </w:rPr>
        <w:t xml:space="preserve">can still be supported when receive timing difference is larger than CP. </w:t>
      </w:r>
    </w:p>
    <w:p w14:paraId="6ACC6E21" w14:textId="405CC46C" w:rsidR="004641CA" w:rsidRPr="005A2F6D" w:rsidRDefault="004641CA" w:rsidP="004641CA">
      <w:pPr>
        <w:pStyle w:val="Caption"/>
        <w:spacing w:before="100" w:beforeAutospacing="1" w:after="100" w:afterAutospacing="1"/>
        <w:jc w:val="both"/>
        <w:rPr>
          <w:sz w:val="24"/>
          <w:szCs w:val="24"/>
        </w:rPr>
      </w:pPr>
      <w:bookmarkStart w:id="0" w:name="_Ref11535525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1E1CA5">
        <w:rPr>
          <w:noProof/>
          <w:sz w:val="24"/>
          <w:szCs w:val="24"/>
        </w:rPr>
        <w:t>1</w:t>
      </w:r>
      <w:r w:rsidRPr="00692822">
        <w:rPr>
          <w:sz w:val="24"/>
          <w:szCs w:val="24"/>
        </w:rPr>
        <w:fldChar w:fldCharType="end"/>
      </w:r>
      <w:r w:rsidRPr="00692822">
        <w:rPr>
          <w:sz w:val="24"/>
          <w:szCs w:val="24"/>
        </w:rPr>
        <w:t xml:space="preserve">: </w:t>
      </w:r>
      <w:r>
        <w:rPr>
          <w:sz w:val="24"/>
          <w:szCs w:val="24"/>
        </w:rPr>
        <w:t>For</w:t>
      </w:r>
      <w:r w:rsidR="001E1CA5">
        <w:rPr>
          <w:sz w:val="24"/>
          <w:szCs w:val="24"/>
        </w:rPr>
        <w:t xml:space="preserve"> receiving signals with </w:t>
      </w:r>
      <w:r>
        <w:rPr>
          <w:sz w:val="24"/>
          <w:szCs w:val="24"/>
        </w:rPr>
        <w:t xml:space="preserve">timing difference </w:t>
      </w:r>
      <w:r w:rsidR="001E1CA5">
        <w:rPr>
          <w:sz w:val="24"/>
          <w:szCs w:val="24"/>
        </w:rPr>
        <w:t>&gt; CP by 2</w:t>
      </w:r>
      <w:r>
        <w:rPr>
          <w:sz w:val="24"/>
          <w:szCs w:val="24"/>
        </w:rPr>
        <w:t xml:space="preserve"> </w:t>
      </w:r>
      <w:r w:rsidR="00404AAA" w:rsidRPr="00404AAA">
        <w:rPr>
          <w:sz w:val="24"/>
          <w:szCs w:val="24"/>
        </w:rPr>
        <w:t>antenna module</w:t>
      </w:r>
      <w:r>
        <w:rPr>
          <w:sz w:val="24"/>
          <w:szCs w:val="24"/>
        </w:rPr>
        <w:t>s, the number of the FFT module</w:t>
      </w:r>
      <w:r w:rsidR="001E1CA5">
        <w:rPr>
          <w:sz w:val="24"/>
          <w:szCs w:val="24"/>
        </w:rPr>
        <w:t>s</w:t>
      </w:r>
      <w:r>
        <w:rPr>
          <w:sz w:val="24"/>
          <w:szCs w:val="24"/>
        </w:rPr>
        <w:t xml:space="preserve">, timing </w:t>
      </w:r>
      <w:r w:rsidRPr="004E4BCC">
        <w:rPr>
          <w:sz w:val="24"/>
          <w:szCs w:val="24"/>
        </w:rPr>
        <w:t>estimation/tracking/compensation</w:t>
      </w:r>
      <w:r>
        <w:rPr>
          <w:sz w:val="24"/>
          <w:szCs w:val="24"/>
        </w:rPr>
        <w:t xml:space="preserve"> </w:t>
      </w:r>
      <w:r w:rsidR="001E1CA5">
        <w:rPr>
          <w:sz w:val="24"/>
          <w:szCs w:val="24"/>
        </w:rPr>
        <w:t>also need</w:t>
      </w:r>
      <w:r>
        <w:rPr>
          <w:sz w:val="24"/>
          <w:szCs w:val="24"/>
        </w:rPr>
        <w:t xml:space="preserve"> be doubled.</w:t>
      </w:r>
      <w:bookmarkEnd w:id="0"/>
      <w:r>
        <w:rPr>
          <w:sz w:val="24"/>
          <w:szCs w:val="24"/>
        </w:rPr>
        <w:t xml:space="preserve"> </w:t>
      </w:r>
    </w:p>
    <w:p w14:paraId="0D546CDA" w14:textId="097BDAEA" w:rsidR="00DD116E" w:rsidRPr="00B26BA0" w:rsidRDefault="004641CA" w:rsidP="00B26BA0">
      <w:pPr>
        <w:spacing w:before="100" w:beforeAutospacing="1" w:after="100" w:afterAutospacing="1"/>
        <w:jc w:val="both"/>
        <w:rPr>
          <w:rFonts w:eastAsia="新細明體" w:hint="eastAsia"/>
          <w:b/>
          <w:szCs w:val="24"/>
        </w:rPr>
      </w:pPr>
      <w:bookmarkStart w:id="1" w:name="_Ref127285795"/>
      <w:bookmarkStart w:id="2" w:name="_Ref115355255"/>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1E1CA5">
        <w:rPr>
          <w:b/>
          <w:noProof/>
          <w:szCs w:val="24"/>
        </w:rPr>
        <w:t>1</w:t>
      </w:r>
      <w:r w:rsidRPr="004E4BCC">
        <w:rPr>
          <w:b/>
          <w:szCs w:val="24"/>
        </w:rPr>
        <w:fldChar w:fldCharType="end"/>
      </w:r>
      <w:r w:rsidRPr="004E4BCC">
        <w:rPr>
          <w:b/>
          <w:szCs w:val="24"/>
        </w:rPr>
        <w:t xml:space="preserve">: The timing difference between different </w:t>
      </w:r>
      <w:r w:rsidR="00404AAA" w:rsidRPr="00404AAA">
        <w:rPr>
          <w:b/>
          <w:szCs w:val="24"/>
        </w:rPr>
        <w:t>antenna module</w:t>
      </w:r>
      <w:r w:rsidRPr="004E4BCC">
        <w:rPr>
          <w:b/>
          <w:szCs w:val="24"/>
        </w:rPr>
        <w:t xml:space="preserve">s is </w:t>
      </w:r>
      <w:r>
        <w:rPr>
          <w:b/>
          <w:szCs w:val="24"/>
        </w:rPr>
        <w:t xml:space="preserve">at least </w:t>
      </w:r>
      <w:r w:rsidRPr="004E4BCC">
        <w:rPr>
          <w:b/>
          <w:szCs w:val="24"/>
        </w:rPr>
        <w:t>within one CP.</w:t>
      </w:r>
      <w:bookmarkEnd w:id="1"/>
      <w:r w:rsidRPr="004E4BCC">
        <w:rPr>
          <w:b/>
          <w:szCs w:val="24"/>
        </w:rPr>
        <w:t xml:space="preserve"> </w:t>
      </w:r>
      <w:bookmarkEnd w:id="2"/>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2AF8726"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 w:name="_Hlk94866332"/>
    </w:p>
    <w:p w14:paraId="2978B6DC" w14:textId="00563EAE" w:rsidR="00444E8D" w:rsidRPr="00444E8D" w:rsidRDefault="00444E8D" w:rsidP="000162CC">
      <w:pPr>
        <w:adjustRightInd w:val="0"/>
        <w:snapToGrid w:val="0"/>
        <w:spacing w:beforeLines="100" w:before="240"/>
        <w:rPr>
          <w:rFonts w:eastAsia="新細明體" w:cstheme="minorHAnsi"/>
          <w:b/>
          <w:bCs/>
          <w:szCs w:val="24"/>
        </w:rPr>
      </w:pPr>
      <w:r w:rsidRPr="00444E8D">
        <w:rPr>
          <w:rFonts w:eastAsia="新細明體" w:cstheme="minorHAnsi"/>
          <w:b/>
          <w:bCs/>
          <w:szCs w:val="24"/>
        </w:rPr>
        <w:fldChar w:fldCharType="begin"/>
      </w:r>
      <w:r w:rsidRPr="00444E8D">
        <w:rPr>
          <w:rFonts w:eastAsia="新細明體" w:cstheme="minorHAnsi"/>
          <w:b/>
          <w:bCs/>
          <w:szCs w:val="24"/>
        </w:rPr>
        <w:instrText xml:space="preserve"> REF _Ref115355251 \h </w:instrText>
      </w:r>
      <w:r>
        <w:rPr>
          <w:rFonts w:eastAsia="新細明體" w:cstheme="minorHAnsi"/>
          <w:b/>
          <w:bCs/>
          <w:szCs w:val="24"/>
        </w:rPr>
        <w:instrText xml:space="preserve"> \* MERGEFORMAT </w:instrText>
      </w:r>
      <w:r w:rsidRPr="00444E8D">
        <w:rPr>
          <w:rFonts w:eastAsia="新細明體" w:cstheme="minorHAnsi"/>
          <w:b/>
          <w:bCs/>
          <w:szCs w:val="24"/>
        </w:rPr>
      </w:r>
      <w:r w:rsidRPr="00444E8D">
        <w:rPr>
          <w:rFonts w:eastAsia="新細明體" w:cstheme="minorHAnsi"/>
          <w:b/>
          <w:bCs/>
          <w:szCs w:val="24"/>
        </w:rPr>
        <w:fldChar w:fldCharType="separate"/>
      </w:r>
      <w:r w:rsidR="001E1CA5" w:rsidRPr="001E1CA5">
        <w:rPr>
          <w:b/>
          <w:bCs/>
          <w:szCs w:val="24"/>
        </w:rPr>
        <w:t xml:space="preserve">Observation </w:t>
      </w:r>
      <w:r w:rsidR="001E1CA5" w:rsidRPr="001E1CA5">
        <w:rPr>
          <w:b/>
          <w:bCs/>
          <w:noProof/>
          <w:szCs w:val="24"/>
        </w:rPr>
        <w:t>1</w:t>
      </w:r>
      <w:r w:rsidR="001E1CA5" w:rsidRPr="001E1CA5">
        <w:rPr>
          <w:b/>
          <w:bCs/>
          <w:szCs w:val="24"/>
        </w:rPr>
        <w:t xml:space="preserve">: For receiving signals with timing difference &gt; CP by 2 antenna modules, the number of the FFT modules, timing </w:t>
      </w:r>
      <w:r w:rsidR="001E1CA5" w:rsidRPr="004E4BCC">
        <w:rPr>
          <w:szCs w:val="24"/>
        </w:rPr>
        <w:t>estimation/tracking/compensation</w:t>
      </w:r>
      <w:r w:rsidR="001E1CA5">
        <w:rPr>
          <w:szCs w:val="24"/>
        </w:rPr>
        <w:t xml:space="preserve"> also need be doubled.</w:t>
      </w:r>
      <w:r w:rsidRPr="00444E8D">
        <w:rPr>
          <w:rFonts w:eastAsia="新細明體" w:cstheme="minorHAnsi"/>
          <w:b/>
          <w:bCs/>
          <w:szCs w:val="24"/>
        </w:rPr>
        <w:fldChar w:fldCharType="end"/>
      </w:r>
    </w:p>
    <w:p w14:paraId="6B27159E" w14:textId="0E17BAC2" w:rsidR="000162CC" w:rsidRPr="00AF3344" w:rsidRDefault="00444E8D" w:rsidP="00B26BA0">
      <w:pPr>
        <w:adjustRightInd w:val="0"/>
        <w:snapToGrid w:val="0"/>
        <w:spacing w:beforeLines="100" w:before="240"/>
        <w:rPr>
          <w:rFonts w:eastAsia="新細明體" w:cstheme="minorHAnsi" w:hint="eastAsia"/>
          <w:szCs w:val="24"/>
        </w:rPr>
      </w:pPr>
      <w:r>
        <w:rPr>
          <w:rFonts w:eastAsia="新細明體" w:cstheme="minorHAnsi"/>
          <w:szCs w:val="24"/>
        </w:rPr>
        <w:fldChar w:fldCharType="begin"/>
      </w:r>
      <w:r>
        <w:rPr>
          <w:rFonts w:eastAsia="新細明體" w:cstheme="minorHAnsi"/>
          <w:szCs w:val="24"/>
        </w:rPr>
        <w:instrText xml:space="preserve"> REF _Ref127285795 \h </w:instrText>
      </w:r>
      <w:r>
        <w:rPr>
          <w:rFonts w:eastAsia="新細明體" w:cstheme="minorHAnsi"/>
          <w:szCs w:val="24"/>
        </w:rPr>
      </w:r>
      <w:r>
        <w:rPr>
          <w:rFonts w:eastAsia="新細明體" w:cstheme="minorHAnsi"/>
          <w:szCs w:val="24"/>
        </w:rPr>
        <w:fldChar w:fldCharType="separate"/>
      </w:r>
      <w:r w:rsidR="001E1CA5" w:rsidRPr="004E4BCC">
        <w:rPr>
          <w:b/>
          <w:szCs w:val="24"/>
        </w:rPr>
        <w:t xml:space="preserve">Proposal </w:t>
      </w:r>
      <w:r w:rsidR="001E1CA5">
        <w:rPr>
          <w:b/>
          <w:noProof/>
          <w:szCs w:val="24"/>
        </w:rPr>
        <w:t>1</w:t>
      </w:r>
      <w:r w:rsidR="001E1CA5" w:rsidRPr="004E4BCC">
        <w:rPr>
          <w:b/>
          <w:szCs w:val="24"/>
        </w:rPr>
        <w:t xml:space="preserve">: The timing difference between different </w:t>
      </w:r>
      <w:r w:rsidR="001E1CA5" w:rsidRPr="00404AAA">
        <w:rPr>
          <w:b/>
          <w:szCs w:val="24"/>
        </w:rPr>
        <w:t>antenna module</w:t>
      </w:r>
      <w:r w:rsidR="001E1CA5" w:rsidRPr="004E4BCC">
        <w:rPr>
          <w:b/>
          <w:szCs w:val="24"/>
        </w:rPr>
        <w:t xml:space="preserve">s is </w:t>
      </w:r>
      <w:r w:rsidR="001E1CA5">
        <w:rPr>
          <w:b/>
          <w:szCs w:val="24"/>
        </w:rPr>
        <w:t xml:space="preserve">at least </w:t>
      </w:r>
      <w:r w:rsidR="001E1CA5" w:rsidRPr="004E4BCC">
        <w:rPr>
          <w:b/>
          <w:szCs w:val="24"/>
        </w:rPr>
        <w:t>within one CP.</w:t>
      </w:r>
      <w:r>
        <w:rPr>
          <w:rFonts w:eastAsia="新細明體" w:cstheme="minorHAnsi"/>
          <w:szCs w:val="24"/>
        </w:rPr>
        <w:fldChar w:fldCharType="end"/>
      </w:r>
    </w:p>
    <w:p w14:paraId="1ECB9334" w14:textId="7196D174" w:rsidR="00707EC5" w:rsidRPr="00236BB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DFD7DAD" w14:textId="671845B9" w:rsidR="00923E98" w:rsidRDefault="00AA7C57" w:rsidP="00AA7C57">
      <w:pPr>
        <w:pStyle w:val="ListParagraph"/>
        <w:numPr>
          <w:ilvl w:val="0"/>
          <w:numId w:val="6"/>
        </w:numPr>
        <w:rPr>
          <w:rFonts w:cstheme="minorHAnsi"/>
          <w:szCs w:val="24"/>
        </w:rPr>
      </w:pPr>
      <w:bookmarkStart w:id="4" w:name="_Ref118581379"/>
      <w:bookmarkStart w:id="5" w:name="_Ref126874315"/>
      <w:bookmarkEnd w:id="3"/>
      <w:r w:rsidRPr="00AA7C57">
        <w:rPr>
          <w:rFonts w:cstheme="minorHAnsi"/>
          <w:szCs w:val="24"/>
        </w:rPr>
        <w:t>R4-</w:t>
      </w:r>
      <w:r w:rsidR="00224733">
        <w:rPr>
          <w:rFonts w:cstheme="minorHAnsi"/>
          <w:szCs w:val="24"/>
        </w:rPr>
        <w:t>2220402</w:t>
      </w:r>
      <w:r w:rsidRPr="00AA7C57">
        <w:rPr>
          <w:rFonts w:cstheme="minorHAnsi"/>
          <w:szCs w:val="24"/>
        </w:rPr>
        <w:t xml:space="preserve">, </w:t>
      </w:r>
      <w:r w:rsidR="00224733" w:rsidRPr="00224733">
        <w:rPr>
          <w:rFonts w:cstheme="minorHAnsi"/>
          <w:szCs w:val="24"/>
        </w:rPr>
        <w:t>WF on NR FR2 multi-Rx chain DL reception – Part 3</w:t>
      </w:r>
      <w:r w:rsidRPr="00AA7C57">
        <w:rPr>
          <w:rFonts w:cstheme="minorHAnsi"/>
          <w:szCs w:val="24"/>
        </w:rPr>
        <w:t xml:space="preserve">, </w:t>
      </w:r>
      <w:r w:rsidR="00222460">
        <w:rPr>
          <w:rFonts w:cstheme="minorHAnsi"/>
          <w:szCs w:val="24"/>
        </w:rPr>
        <w:t>Ericsson</w:t>
      </w:r>
      <w:r w:rsidRPr="00AA7C57">
        <w:rPr>
          <w:rFonts w:cstheme="minorHAnsi"/>
          <w:szCs w:val="24"/>
        </w:rPr>
        <w:t>, RAN4 #10</w:t>
      </w:r>
      <w:bookmarkEnd w:id="4"/>
      <w:r w:rsidR="00224733">
        <w:rPr>
          <w:rFonts w:cstheme="minorHAnsi"/>
          <w:szCs w:val="24"/>
        </w:rPr>
        <w:t>5</w:t>
      </w:r>
      <w:bookmarkEnd w:id="5"/>
    </w:p>
    <w:p w14:paraId="2937B415" w14:textId="1F1DB647" w:rsidR="00224733" w:rsidRPr="00236BBD" w:rsidRDefault="00224733" w:rsidP="00AA7C57">
      <w:pPr>
        <w:pStyle w:val="ListParagraph"/>
        <w:numPr>
          <w:ilvl w:val="0"/>
          <w:numId w:val="6"/>
        </w:numPr>
        <w:rPr>
          <w:rFonts w:cstheme="minorHAnsi"/>
          <w:szCs w:val="24"/>
        </w:rPr>
      </w:pPr>
      <w:bookmarkStart w:id="6" w:name="_Ref126874323"/>
      <w:r>
        <w:rPr>
          <w:rFonts w:eastAsia="新細明體" w:cstheme="minorHAnsi" w:hint="eastAsia"/>
          <w:szCs w:val="24"/>
          <w:lang w:eastAsia="zh-TW"/>
        </w:rPr>
        <w:t>R</w:t>
      </w:r>
      <w:r>
        <w:rPr>
          <w:rFonts w:eastAsia="新細明體" w:cstheme="minorHAnsi"/>
          <w:szCs w:val="24"/>
          <w:lang w:eastAsia="zh-TW"/>
        </w:rPr>
        <w:t xml:space="preserve">4-2220063, </w:t>
      </w:r>
      <w:r w:rsidRPr="00224733">
        <w:rPr>
          <w:rFonts w:eastAsia="新細明體" w:cstheme="minorHAnsi"/>
          <w:szCs w:val="24"/>
          <w:lang w:eastAsia="zh-TW"/>
        </w:rPr>
        <w:t>Topic summary for [105][217] FR2_multiRx_RRM_part3</w:t>
      </w:r>
      <w:r>
        <w:rPr>
          <w:rFonts w:eastAsia="新細明體" w:cstheme="minorHAnsi"/>
          <w:szCs w:val="24"/>
          <w:lang w:eastAsia="zh-TW"/>
        </w:rPr>
        <w:t>, Ericsson, RAN4 #105</w:t>
      </w:r>
      <w:bookmarkEnd w:id="6"/>
    </w:p>
    <w:sectPr w:rsidR="00224733" w:rsidRPr="00236BB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94164" w14:textId="77777777" w:rsidR="008C7D0A" w:rsidRDefault="008C7D0A">
      <w:r>
        <w:separator/>
      </w:r>
    </w:p>
  </w:endnote>
  <w:endnote w:type="continuationSeparator" w:id="0">
    <w:p w14:paraId="45DB7266" w14:textId="77777777" w:rsidR="008C7D0A" w:rsidRDefault="008C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E4DF1" w14:textId="77777777" w:rsidR="008C7D0A" w:rsidRDefault="008C7D0A">
      <w:r>
        <w:separator/>
      </w:r>
    </w:p>
  </w:footnote>
  <w:footnote w:type="continuationSeparator" w:id="0">
    <w:p w14:paraId="005685C4" w14:textId="77777777" w:rsidR="008C7D0A" w:rsidRDefault="008C7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D50423B"/>
    <w:multiLevelType w:val="multilevel"/>
    <w:tmpl w:val="40881E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DD70264"/>
    <w:multiLevelType w:val="multilevel"/>
    <w:tmpl w:val="BCEC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7B5DF7"/>
    <w:multiLevelType w:val="hybridMultilevel"/>
    <w:tmpl w:val="0AE41D7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6"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0"/>
  </w:num>
  <w:num w:numId="2">
    <w:abstractNumId w:val="17"/>
  </w:num>
  <w:num w:numId="3">
    <w:abstractNumId w:val="2"/>
  </w:num>
  <w:num w:numId="4">
    <w:abstractNumId w:val="0"/>
  </w:num>
  <w:num w:numId="5">
    <w:abstractNumId w:val="25"/>
  </w:num>
  <w:num w:numId="6">
    <w:abstractNumId w:val="5"/>
  </w:num>
  <w:num w:numId="7">
    <w:abstractNumId w:val="28"/>
  </w:num>
  <w:num w:numId="8">
    <w:abstractNumId w:val="36"/>
  </w:num>
  <w:num w:numId="9">
    <w:abstractNumId w:val="9"/>
  </w:num>
  <w:num w:numId="10">
    <w:abstractNumId w:val="20"/>
  </w:num>
  <w:num w:numId="11">
    <w:abstractNumId w:val="29"/>
  </w:num>
  <w:num w:numId="12">
    <w:abstractNumId w:val="22"/>
  </w:num>
  <w:num w:numId="13">
    <w:abstractNumId w:val="31"/>
  </w:num>
  <w:num w:numId="14">
    <w:abstractNumId w:val="3"/>
  </w:num>
  <w:num w:numId="15">
    <w:abstractNumId w:val="13"/>
  </w:num>
  <w:num w:numId="16">
    <w:abstractNumId w:val="35"/>
  </w:num>
  <w:num w:numId="17">
    <w:abstractNumId w:val="1"/>
  </w:num>
  <w:num w:numId="18">
    <w:abstractNumId w:val="4"/>
  </w:num>
  <w:num w:numId="19">
    <w:abstractNumId w:val="34"/>
  </w:num>
  <w:num w:numId="20">
    <w:abstractNumId w:val="18"/>
  </w:num>
  <w:num w:numId="21">
    <w:abstractNumId w:val="27"/>
  </w:num>
  <w:num w:numId="22">
    <w:abstractNumId w:val="6"/>
  </w:num>
  <w:num w:numId="23">
    <w:abstractNumId w:val="8"/>
  </w:num>
  <w:num w:numId="24">
    <w:abstractNumId w:val="19"/>
  </w:num>
  <w:num w:numId="25">
    <w:abstractNumId w:val="26"/>
  </w:num>
  <w:num w:numId="26">
    <w:abstractNumId w:val="11"/>
  </w:num>
  <w:num w:numId="27">
    <w:abstractNumId w:val="12"/>
  </w:num>
  <w:num w:numId="28">
    <w:abstractNumId w:val="16"/>
  </w:num>
  <w:num w:numId="29">
    <w:abstractNumId w:val="32"/>
  </w:num>
  <w:num w:numId="30">
    <w:abstractNumId w:val="25"/>
  </w:num>
  <w:num w:numId="31">
    <w:abstractNumId w:val="10"/>
  </w:num>
  <w:num w:numId="32">
    <w:abstractNumId w:val="14"/>
  </w:num>
  <w:num w:numId="33">
    <w:abstractNumId w:val="33"/>
  </w:num>
  <w:num w:numId="34">
    <w:abstractNumId w:val="23"/>
  </w:num>
  <w:num w:numId="35">
    <w:abstractNumId w:val="21"/>
  </w:num>
  <w:num w:numId="36">
    <w:abstractNumId w:val="24"/>
  </w:num>
  <w:num w:numId="37">
    <w:abstractNumId w:val="7"/>
  </w:num>
  <w:num w:numId="3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87CD6"/>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A9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72D"/>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DE7"/>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A5"/>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733"/>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99E"/>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AAA"/>
    <w:rsid w:val="00404D3C"/>
    <w:rsid w:val="00404EFB"/>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4E8D"/>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C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1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C75"/>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41C"/>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71C"/>
    <w:rsid w:val="005708FD"/>
    <w:rsid w:val="00570E41"/>
    <w:rsid w:val="00571008"/>
    <w:rsid w:val="0057140A"/>
    <w:rsid w:val="00571F9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2B66"/>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CA"/>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793"/>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2D0"/>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08"/>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2A1"/>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D0A"/>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10"/>
    <w:rsid w:val="008F5424"/>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6F9"/>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18"/>
    <w:rsid w:val="0093579C"/>
    <w:rsid w:val="00935C87"/>
    <w:rsid w:val="00935D1C"/>
    <w:rsid w:val="00935D4F"/>
    <w:rsid w:val="00935DF9"/>
    <w:rsid w:val="00935EA5"/>
    <w:rsid w:val="009363D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D2A"/>
    <w:rsid w:val="00960011"/>
    <w:rsid w:val="00960329"/>
    <w:rsid w:val="00960439"/>
    <w:rsid w:val="00960502"/>
    <w:rsid w:val="00960672"/>
    <w:rsid w:val="009606C7"/>
    <w:rsid w:val="009608BC"/>
    <w:rsid w:val="009611F2"/>
    <w:rsid w:val="00961510"/>
    <w:rsid w:val="00961608"/>
    <w:rsid w:val="00961BC9"/>
    <w:rsid w:val="0096238D"/>
    <w:rsid w:val="009624CC"/>
    <w:rsid w:val="00962539"/>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D74"/>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BA0"/>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19"/>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C00"/>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82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C7E9E"/>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040"/>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4A1"/>
    <w:rsid w:val="00DC06DD"/>
    <w:rsid w:val="00DC15AB"/>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485"/>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654"/>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4DD"/>
    <w:rsid w:val="00F745D5"/>
    <w:rsid w:val="00F74F40"/>
    <w:rsid w:val="00F75642"/>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445"/>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BA0"/>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26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BA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2023-02-17T08:10:00Z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